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220 / 323 vom 31. Mai 2010</w:t>
      </w:r>
    </w:p>
    <w:p>
      <w:r>
        <w:t>BL Gerichte, 2010-05-31, DE</w:t>
      </w:r>
    </w:p>
    <w:p>
      <w:r>
        <w:rPr>
          <w:b/>
        </w:rPr>
        <w:t xml:space="preserve">Quelle: </w:t>
      </w:r>
      <w:r>
        <w:t>https://mcp.opencaselaw.ch/entscheid/bl_gerichte_725 2011 220 _ 323</w:t>
      </w:r>
    </w:p>
    <w:p>
      <w:r>
        <w:t>FR: BL_GERICHTE 725 2011 220 / 323 du 31 mai 2010</w:t>
      </w:r>
    </w:p>
    <w:p>
      <w:r>
        <w:t>IT: BL_GERICHTE 725 2011 220 / 323 del 31 maggio 2010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befindest sie dieser in X. , weshalb die örtliche Zuständigkeit des Kantonsgerichts zu bejahen ist. Gemäss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17. Juni 2011 ist einzutreten.</w:t>
      </w:r>
    </w:p>
    <w:p>
      <w:r>
        <w:rPr>
          <w:b/>
        </w:rPr>
        <w:t>E. 2</w:t>
      </w:r>
    </w:p>
    <w:p>
      <w:r>
        <w:t>Strittig und zu prüfen ist einerseits die Höhe des mutmasslich entgangenen Verdienstes als wesentlicher Faktor der Überentschädigungsberechnung nach Art. 69 Abs. 2 ATSG und anderseits die Bemessung des versicherten Verdienstes für die Taggeldleistungen.</w:t>
      </w:r>
    </w:p>
    <w:p>
      <w:r>
        <w:rPr>
          <w:b/>
        </w:rPr>
        <w:t>E. 3</w:t>
      </w:r>
    </w:p>
    <w:p>
      <w:r>
        <w:t>Die Beschwerdegegnerin hat der Beschwerdeführerin eine Parteientschädigung in Höhe von Fr. 1'519.55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